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will provide examples of lawful and unlawful handbook policies to instruct members on how to properly draft such policies.  I will explain the basis for the NLRB’s position regarding its review of policies and ramifications to a company if an employee is fired based upon a legal policy.  Policies to be covered include Social Media, Confidentiality, use of e-mail system, use of recording devices, conflict of interest, disparagement and threatening language.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George Basara is a 1980 graduate of IUP and a 1984 graduate of the Hofstra Law School of Hofstra University.  George practiced exclusively in the area of Labor and Employment Law for thirty years, the last 20 of which were with the national law firm of Buchanan, Ingersoll and Rooney.  George joined S&amp;T Bank in Indiana, PA as its first general counsel and EVP of HR in January 2015.  He currently oversees HR for 1,100 employees and 3 offices.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